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rPr>
        <w:t>证券代码：300873</w:t>
      </w:r>
      <w:r>
        <w:rPr>
          <w:rFonts w:asciiTheme="minorEastAsia" w:hAnsiTheme="minorEastAsia" w:eastAsiaTheme="minorEastAsia"/>
          <w:kern w:val="0"/>
          <w:sz w:val="24"/>
        </w:rPr>
        <w:tab/>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ab/>
      </w:r>
      <w:r>
        <w:rPr>
          <w:rFonts w:hint="eastAsia" w:asciiTheme="minorEastAsia" w:hAnsiTheme="minorEastAsia" w:eastAsiaTheme="minorEastAsia"/>
          <w:kern w:val="0"/>
          <w:sz w:val="24"/>
        </w:rPr>
        <w:t xml:space="preserve">  证券简称：海晨股份</w:t>
      </w:r>
      <w:r>
        <w:rPr>
          <w:rFonts w:asciiTheme="minorEastAsia" w:hAnsiTheme="minorEastAsia" w:eastAsiaTheme="minorEastAsia"/>
          <w:kern w:val="0"/>
          <w:sz w:val="24"/>
        </w:rPr>
        <w:tab/>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ab/>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公告编号：202</w:t>
      </w: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006</w:t>
      </w:r>
    </w:p>
    <w:p>
      <w:pPr>
        <w:spacing w:before="156" w:beforeLines="50" w:line="360" w:lineRule="auto"/>
        <w:jc w:val="center"/>
        <w:outlineLvl w:val="0"/>
        <w:rPr>
          <w:rFonts w:asciiTheme="minorEastAsia" w:hAnsiTheme="minorEastAsia" w:eastAsiaTheme="minorEastAsia"/>
          <w:b/>
          <w:kern w:val="0"/>
          <w:sz w:val="30"/>
          <w:szCs w:val="30"/>
        </w:rPr>
      </w:pPr>
      <w:r>
        <w:rPr>
          <w:rFonts w:hint="eastAsia" w:asciiTheme="minorEastAsia" w:hAnsiTheme="minorEastAsia" w:eastAsiaTheme="minorEastAsia"/>
          <w:b/>
          <w:color w:val="000000"/>
          <w:sz w:val="30"/>
          <w:szCs w:val="30"/>
        </w:rPr>
        <w:t>江苏海晨物流股份有限公司</w:t>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0"/>
          <w:szCs w:val="30"/>
          <w:lang w:eastAsia="zh-CN"/>
        </w:rPr>
        <w:t>2023年第一次</w:t>
      </w:r>
      <w:r>
        <w:rPr>
          <w:rFonts w:hint="eastAsia" w:asciiTheme="minorEastAsia" w:hAnsiTheme="minorEastAsia" w:eastAsiaTheme="minorEastAsia"/>
          <w:b/>
          <w:sz w:val="30"/>
          <w:szCs w:val="30"/>
        </w:rPr>
        <w:t>临时股东大会决议公告</w:t>
      </w:r>
    </w:p>
    <w:p>
      <w:r>
        <w:rPr>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5486400" cy="692150"/>
                <wp:effectExtent l="0" t="0" r="1905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86400" cy="692150"/>
                        </a:xfrm>
                        <a:prstGeom prst="rect">
                          <a:avLst/>
                        </a:prstGeom>
                        <a:solidFill>
                          <a:srgbClr val="FFFFFF"/>
                        </a:solidFill>
                        <a:ln w="9525" cmpd="sng">
                          <a:solidFill>
                            <a:srgbClr val="000000"/>
                          </a:solidFill>
                          <a:miter lim="800000"/>
                        </a:ln>
                      </wps:spPr>
                      <wps:txbx>
                        <w:txbxContent>
                          <w:p>
                            <w:pPr>
                              <w:spacing w:line="360" w:lineRule="auto"/>
                              <w:ind w:firstLine="424" w:firstLineChars="177"/>
                            </w:pPr>
                            <w:r>
                              <w:rPr>
                                <w:rFonts w:hint="eastAsia" w:ascii="宋体" w:hAnsi="宋体"/>
                                <w:kern w:val="0"/>
                                <w:sz w:val="24"/>
                              </w:rPr>
                              <w:t>本公司及董事会全体成员保证信息披露的内容真实、准确和完整，没有虚假记载、误导性陈述或重大遗漏。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6.4pt;height:54.5pt;width:432pt;z-index:251659264;mso-width-relative:page;mso-height-relative:page;" fillcolor="#FFFFFF" filled="t" stroked="t" coordsize="21600,21600" o:gfxdata="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y8D/9QAAAAHAQAADwAAAAAAAAABACAA&#10;AAAiAAAAZHJzL2Rvd25yZXYueG1sUEsBAhQAFAAAAAgAh07iQC2XZ+1KAgAAkgQAAA4AAAAAAAAA&#10;AQAgAAAAIwEAAGRycy9lMm9Eb2MueG1sUEsFBgAAAAAGAAYAWQEAAN8FAAAAAA==&#10;">
                <v:fill on="t" focussize="0,0"/>
                <v:stroke color="#000000" miterlimit="8" joinstyle="miter"/>
                <v:imagedata o:title=""/>
                <o:lock v:ext="edit" aspectratio="f"/>
                <v:textbox>
                  <w:txbxContent>
                    <w:p>
                      <w:pPr>
                        <w:spacing w:line="360" w:lineRule="auto"/>
                        <w:ind w:firstLine="424" w:firstLineChars="177"/>
                      </w:pPr>
                      <w:r>
                        <w:rPr>
                          <w:rFonts w:hint="eastAsia" w:ascii="宋体" w:hAnsi="宋体"/>
                          <w:kern w:val="0"/>
                          <w:sz w:val="24"/>
                        </w:rPr>
                        <w:t>本公司及董事会全体成员保证信息披露的内容真实、准确和完整，没有虚假记载、误导性陈述或重大遗漏。</w:t>
                      </w:r>
                    </w:p>
                  </w:txbxContent>
                </v:textbox>
              </v:shape>
            </w:pict>
          </mc:Fallback>
        </mc:AlternateContent>
      </w:r>
    </w:p>
    <w:p>
      <w:pPr>
        <w:spacing w:line="360" w:lineRule="auto"/>
        <w:ind w:firstLine="482" w:firstLineChars="200"/>
        <w:rPr>
          <w:rFonts w:asciiTheme="minorEastAsia" w:hAnsiTheme="minorEastAsia" w:eastAsiaTheme="minorEastAsia"/>
          <w:b/>
          <w:bCs/>
          <w:sz w:val="24"/>
          <w:szCs w:val="21"/>
        </w:rPr>
      </w:pPr>
    </w:p>
    <w:p>
      <w:pPr>
        <w:spacing w:line="360" w:lineRule="auto"/>
        <w:ind w:firstLine="482" w:firstLineChars="200"/>
        <w:rPr>
          <w:rFonts w:asciiTheme="minorEastAsia" w:hAnsiTheme="minorEastAsia" w:eastAsiaTheme="minorEastAsia"/>
          <w:b/>
          <w:bCs/>
          <w:sz w:val="24"/>
          <w:szCs w:val="21"/>
        </w:rPr>
      </w:pPr>
    </w:p>
    <w:p>
      <w:pPr>
        <w:spacing w:line="360" w:lineRule="auto"/>
        <w:ind w:firstLine="482" w:firstLineChars="200"/>
        <w:rPr>
          <w:rFonts w:asciiTheme="minorEastAsia" w:hAnsiTheme="minorEastAsia" w:eastAsiaTheme="minorEastAsia"/>
          <w:b/>
          <w:bCs/>
          <w:sz w:val="24"/>
          <w:szCs w:val="21"/>
        </w:rPr>
      </w:pPr>
      <w:r>
        <w:rPr>
          <w:rFonts w:hint="eastAsia" w:asciiTheme="minorEastAsia" w:hAnsiTheme="minorEastAsia" w:eastAsiaTheme="minorEastAsia"/>
          <w:b/>
          <w:bCs/>
          <w:sz w:val="24"/>
          <w:szCs w:val="21"/>
        </w:rPr>
        <w:t>特别</w:t>
      </w:r>
      <w:r>
        <w:rPr>
          <w:rFonts w:asciiTheme="minorEastAsia" w:hAnsiTheme="minorEastAsia" w:eastAsiaTheme="minorEastAsia"/>
          <w:b/>
          <w:bCs/>
          <w:sz w:val="24"/>
          <w:szCs w:val="21"/>
        </w:rPr>
        <w:t>提示</w:t>
      </w:r>
    </w:p>
    <w:p>
      <w:pPr>
        <w:pStyle w:val="21"/>
        <w:numPr>
          <w:ilvl w:val="0"/>
          <w:numId w:val="1"/>
        </w:numPr>
        <w:autoSpaceDE w:val="0"/>
        <w:autoSpaceDN w:val="0"/>
        <w:adjustRightInd w:val="0"/>
        <w:spacing w:line="360" w:lineRule="auto"/>
        <w:ind w:left="0" w:firstLine="480" w:firstLineChars="0"/>
        <w:rPr>
          <w:rFonts w:eastAsiaTheme="minorEastAsia"/>
          <w:color w:val="000000"/>
          <w:kern w:val="0"/>
          <w:sz w:val="24"/>
        </w:rPr>
      </w:pPr>
      <w:r>
        <w:rPr>
          <w:rFonts w:eastAsiaTheme="minorEastAsia"/>
          <w:color w:val="000000"/>
          <w:kern w:val="0"/>
          <w:sz w:val="24"/>
        </w:rPr>
        <w:t>本次股东大会不存在否决议案的情形。</w:t>
      </w:r>
    </w:p>
    <w:p>
      <w:pPr>
        <w:pStyle w:val="21"/>
        <w:numPr>
          <w:ilvl w:val="0"/>
          <w:numId w:val="1"/>
        </w:numPr>
        <w:autoSpaceDE w:val="0"/>
        <w:autoSpaceDN w:val="0"/>
        <w:adjustRightInd w:val="0"/>
        <w:spacing w:line="360" w:lineRule="auto"/>
        <w:ind w:left="0" w:firstLine="480" w:firstLineChars="0"/>
        <w:rPr>
          <w:rFonts w:eastAsiaTheme="minorEastAsia"/>
          <w:color w:val="000000"/>
          <w:kern w:val="0"/>
          <w:sz w:val="24"/>
        </w:rPr>
      </w:pPr>
      <w:r>
        <w:rPr>
          <w:rFonts w:eastAsiaTheme="minorEastAsia"/>
          <w:color w:val="000000"/>
          <w:kern w:val="0"/>
          <w:sz w:val="24"/>
        </w:rPr>
        <w:t>本次股东大会不涉及变更以往股东大会已通过的决议。</w:t>
      </w:r>
    </w:p>
    <w:p>
      <w:pPr>
        <w:pStyle w:val="26"/>
        <w:tabs>
          <w:tab w:val="left" w:pos="993"/>
        </w:tabs>
        <w:spacing w:before="156" w:beforeLines="50" w:after="156"/>
        <w:ind w:firstLine="482"/>
        <w:rPr>
          <w:b/>
          <w:bCs/>
          <w:szCs w:val="21"/>
          <w:lang w:eastAsia="zh-CN"/>
        </w:rPr>
      </w:pPr>
      <w:r>
        <w:rPr>
          <w:rFonts w:hint="eastAsia"/>
          <w:b/>
          <w:bCs/>
          <w:szCs w:val="21"/>
          <w:lang w:eastAsia="zh-CN"/>
        </w:rPr>
        <w:t>一</w:t>
      </w:r>
      <w:r>
        <w:rPr>
          <w:b/>
          <w:bCs/>
          <w:szCs w:val="21"/>
          <w:lang w:eastAsia="zh-CN"/>
        </w:rPr>
        <w:t>、会议召开情况</w:t>
      </w:r>
    </w:p>
    <w:p>
      <w:pPr>
        <w:pStyle w:val="21"/>
        <w:numPr>
          <w:ilvl w:val="0"/>
          <w:numId w:val="2"/>
        </w:numPr>
        <w:tabs>
          <w:tab w:val="left" w:pos="993"/>
          <w:tab w:val="left" w:pos="1134"/>
        </w:tabs>
        <w:spacing w:line="360" w:lineRule="auto"/>
        <w:ind w:left="0" w:firstLine="284" w:firstLineChars="0"/>
        <w:rPr>
          <w:sz w:val="24"/>
        </w:rPr>
      </w:pPr>
      <w:r>
        <w:rPr>
          <w:rFonts w:asciiTheme="minorEastAsia" w:hAnsiTheme="minorEastAsia" w:eastAsiaTheme="minorEastAsia"/>
          <w:sz w:val="24"/>
          <w:szCs w:val="21"/>
        </w:rPr>
        <w:t>召开时间</w:t>
      </w:r>
      <w:r>
        <w:rPr>
          <w:rFonts w:hint="eastAsia" w:ascii="宋体" w:hAnsi="宋体"/>
          <w:sz w:val="24"/>
        </w:rPr>
        <w:t>：</w:t>
      </w:r>
      <w:r>
        <w:rPr>
          <w:sz w:val="24"/>
        </w:rPr>
        <w:t>202</w:t>
      </w:r>
      <w:r>
        <w:rPr>
          <w:rFonts w:hint="eastAsia"/>
          <w:sz w:val="24"/>
          <w:lang w:val="en-US" w:eastAsia="zh-CN"/>
        </w:rPr>
        <w:t>3</w:t>
      </w:r>
      <w:r>
        <w:rPr>
          <w:sz w:val="24"/>
        </w:rPr>
        <w:t>年</w:t>
      </w:r>
      <w:r>
        <w:rPr>
          <w:rFonts w:hint="eastAsia"/>
          <w:sz w:val="24"/>
          <w:lang w:val="en-US" w:eastAsia="zh-CN"/>
        </w:rPr>
        <w:t>3</w:t>
      </w:r>
      <w:r>
        <w:rPr>
          <w:sz w:val="24"/>
        </w:rPr>
        <w:t>月</w:t>
      </w:r>
      <w:r>
        <w:rPr>
          <w:rFonts w:hint="eastAsia"/>
          <w:sz w:val="24"/>
          <w:lang w:val="en-US" w:eastAsia="zh-CN"/>
        </w:rPr>
        <w:t>1</w:t>
      </w:r>
      <w:r>
        <w:rPr>
          <w:sz w:val="24"/>
        </w:rPr>
        <w:t>日</w:t>
      </w:r>
      <w:r>
        <w:rPr>
          <w:rFonts w:hint="eastAsia" w:ascii="宋体" w:hAnsi="宋体"/>
          <w:sz w:val="24"/>
        </w:rPr>
        <w:t>（星期</w:t>
      </w:r>
      <w:r>
        <w:rPr>
          <w:rFonts w:hint="eastAsia" w:ascii="宋体" w:hAnsi="宋体"/>
          <w:sz w:val="24"/>
          <w:lang w:val="en-US" w:eastAsia="zh-CN"/>
        </w:rPr>
        <w:t>三</w:t>
      </w:r>
      <w:r>
        <w:rPr>
          <w:rFonts w:hint="eastAsia" w:ascii="宋体" w:hAnsi="宋体"/>
          <w:sz w:val="24"/>
        </w:rPr>
        <w:t>）</w:t>
      </w:r>
      <w:bookmarkStart w:id="0" w:name="OLE_LINK43"/>
      <w:bookmarkStart w:id="1" w:name="OLE_LINK42"/>
      <w:bookmarkStart w:id="2" w:name="OLE_LINK70"/>
      <w:r>
        <w:rPr>
          <w:sz w:val="24"/>
        </w:rPr>
        <w:t>14:30</w:t>
      </w:r>
      <w:bookmarkEnd w:id="0"/>
      <w:bookmarkEnd w:id="1"/>
      <w:bookmarkEnd w:id="2"/>
    </w:p>
    <w:p>
      <w:pPr>
        <w:pStyle w:val="21"/>
        <w:numPr>
          <w:ilvl w:val="0"/>
          <w:numId w:val="2"/>
        </w:numPr>
        <w:tabs>
          <w:tab w:val="left" w:pos="993"/>
          <w:tab w:val="left" w:pos="1134"/>
        </w:tabs>
        <w:spacing w:line="360" w:lineRule="auto"/>
        <w:ind w:left="0" w:firstLine="284" w:firstLineChars="0"/>
        <w:rPr>
          <w:sz w:val="24"/>
        </w:rPr>
      </w:pPr>
      <w:r>
        <w:rPr>
          <w:rFonts w:asciiTheme="minorEastAsia" w:hAnsiTheme="minorEastAsia" w:eastAsiaTheme="minorEastAsia"/>
          <w:sz w:val="24"/>
          <w:szCs w:val="21"/>
        </w:rPr>
        <w:t>召开地点</w:t>
      </w:r>
      <w:r>
        <w:rPr>
          <w:rFonts w:hint="eastAsia" w:asciiTheme="minorEastAsia" w:hAnsiTheme="minorEastAsia" w:eastAsiaTheme="minorEastAsia"/>
          <w:sz w:val="24"/>
          <w:szCs w:val="21"/>
        </w:rPr>
        <w:t>：</w:t>
      </w:r>
      <w:r>
        <w:rPr>
          <w:rFonts w:hint="eastAsia"/>
          <w:sz w:val="24"/>
        </w:rPr>
        <w:t>深圳市南山区前海信利康大厦13楼会议室</w:t>
      </w:r>
    </w:p>
    <w:p>
      <w:pPr>
        <w:pStyle w:val="21"/>
        <w:numPr>
          <w:ilvl w:val="0"/>
          <w:numId w:val="2"/>
        </w:numPr>
        <w:tabs>
          <w:tab w:val="left" w:pos="993"/>
          <w:tab w:val="left" w:pos="1134"/>
        </w:tabs>
        <w:spacing w:line="360" w:lineRule="auto"/>
        <w:ind w:left="0" w:firstLine="284" w:firstLineChars="0"/>
        <w:rPr>
          <w:sz w:val="24"/>
        </w:rPr>
      </w:pPr>
      <w:r>
        <w:rPr>
          <w:rFonts w:hint="eastAsia"/>
          <w:sz w:val="24"/>
        </w:rPr>
        <w:t>召开方式：现场结合网络</w:t>
      </w:r>
    </w:p>
    <w:p>
      <w:pPr>
        <w:pStyle w:val="21"/>
        <w:numPr>
          <w:ilvl w:val="0"/>
          <w:numId w:val="2"/>
        </w:numPr>
        <w:tabs>
          <w:tab w:val="left" w:pos="993"/>
          <w:tab w:val="left" w:pos="1134"/>
        </w:tabs>
        <w:spacing w:line="360" w:lineRule="auto"/>
        <w:ind w:left="0" w:firstLine="284" w:firstLineChars="0"/>
        <w:rPr>
          <w:sz w:val="24"/>
        </w:rPr>
      </w:pPr>
      <w:r>
        <w:rPr>
          <w:rFonts w:asciiTheme="minorEastAsia" w:hAnsiTheme="minorEastAsia" w:eastAsiaTheme="minorEastAsia"/>
          <w:sz w:val="24"/>
          <w:szCs w:val="21"/>
        </w:rPr>
        <w:t>召集人</w:t>
      </w:r>
      <w:r>
        <w:rPr>
          <w:rFonts w:hint="eastAsia" w:asciiTheme="minorEastAsia" w:hAnsiTheme="minorEastAsia" w:eastAsiaTheme="minorEastAsia"/>
          <w:sz w:val="24"/>
          <w:szCs w:val="21"/>
        </w:rPr>
        <w:t>：</w:t>
      </w:r>
      <w:r>
        <w:rPr>
          <w:rFonts w:hint="eastAsia"/>
          <w:sz w:val="24"/>
        </w:rPr>
        <w:t>董事会</w:t>
      </w:r>
    </w:p>
    <w:p>
      <w:pPr>
        <w:pStyle w:val="21"/>
        <w:numPr>
          <w:ilvl w:val="0"/>
          <w:numId w:val="2"/>
        </w:numPr>
        <w:tabs>
          <w:tab w:val="left" w:pos="993"/>
          <w:tab w:val="left" w:pos="1134"/>
        </w:tabs>
        <w:spacing w:line="360" w:lineRule="auto"/>
        <w:ind w:left="0" w:firstLine="284" w:firstLineChars="0"/>
        <w:rPr>
          <w:sz w:val="24"/>
        </w:rPr>
      </w:pPr>
      <w:r>
        <w:rPr>
          <w:rFonts w:asciiTheme="minorEastAsia" w:hAnsiTheme="minorEastAsia" w:eastAsiaTheme="minorEastAsia"/>
          <w:sz w:val="24"/>
          <w:szCs w:val="21"/>
        </w:rPr>
        <w:t>主持人</w:t>
      </w:r>
      <w:r>
        <w:rPr>
          <w:rFonts w:hint="eastAsia" w:asciiTheme="minorEastAsia" w:hAnsiTheme="minorEastAsia" w:eastAsiaTheme="minorEastAsia"/>
          <w:sz w:val="24"/>
          <w:szCs w:val="21"/>
        </w:rPr>
        <w:t>：董事长、总经理梁晨女士</w:t>
      </w:r>
    </w:p>
    <w:p>
      <w:pPr>
        <w:pStyle w:val="21"/>
        <w:numPr>
          <w:ilvl w:val="0"/>
          <w:numId w:val="2"/>
        </w:numPr>
        <w:tabs>
          <w:tab w:val="left" w:pos="993"/>
          <w:tab w:val="left" w:pos="1134"/>
        </w:tabs>
        <w:spacing w:line="360" w:lineRule="auto"/>
        <w:ind w:left="0" w:firstLine="284" w:firstLineChars="0"/>
        <w:rPr>
          <w:rFonts w:asciiTheme="minorEastAsia" w:hAnsiTheme="minorEastAsia" w:eastAsiaTheme="minorEastAsia"/>
          <w:sz w:val="24"/>
          <w:szCs w:val="21"/>
        </w:rPr>
      </w:pPr>
      <w:r>
        <w:rPr>
          <w:rFonts w:asciiTheme="minorEastAsia" w:hAnsiTheme="minorEastAsia" w:eastAsiaTheme="minorEastAsia"/>
          <w:sz w:val="24"/>
          <w:szCs w:val="21"/>
        </w:rPr>
        <w:t>本次会议的召集、召开符合《中华人民共和国公司法》、《上市公司股东大会规则》</w:t>
      </w:r>
      <w:r>
        <w:rPr>
          <w:rFonts w:hint="eastAsia" w:asciiTheme="minorEastAsia" w:hAnsiTheme="minorEastAsia" w:eastAsiaTheme="minorEastAsia"/>
          <w:sz w:val="24"/>
          <w:szCs w:val="21"/>
        </w:rPr>
        <w:t>、《深圳证券交易所创业板股票上市规则》</w:t>
      </w:r>
      <w:r>
        <w:rPr>
          <w:rFonts w:asciiTheme="minorEastAsia" w:hAnsiTheme="minorEastAsia" w:eastAsiaTheme="minorEastAsia"/>
          <w:sz w:val="24"/>
          <w:szCs w:val="21"/>
        </w:rPr>
        <w:t>等有关法律、行政法规、部门规章、规范性文件和《</w:t>
      </w:r>
      <w:r>
        <w:rPr>
          <w:rFonts w:hint="eastAsia" w:asciiTheme="minorEastAsia" w:hAnsiTheme="minorEastAsia" w:eastAsiaTheme="minorEastAsia"/>
          <w:sz w:val="24"/>
          <w:szCs w:val="21"/>
        </w:rPr>
        <w:t>江苏海晨物流股份有限公司</w:t>
      </w:r>
      <w:r>
        <w:rPr>
          <w:rFonts w:asciiTheme="minorEastAsia" w:hAnsiTheme="minorEastAsia" w:eastAsiaTheme="minorEastAsia"/>
          <w:sz w:val="24"/>
          <w:szCs w:val="21"/>
        </w:rPr>
        <w:t>章程》的有关规定。</w:t>
      </w:r>
    </w:p>
    <w:p>
      <w:pPr>
        <w:pStyle w:val="26"/>
        <w:tabs>
          <w:tab w:val="left" w:pos="993"/>
        </w:tabs>
        <w:spacing w:before="156" w:beforeLines="50" w:after="156"/>
        <w:ind w:firstLine="482"/>
        <w:rPr>
          <w:b/>
          <w:bCs/>
          <w:szCs w:val="21"/>
          <w:lang w:eastAsia="zh-CN"/>
        </w:rPr>
      </w:pPr>
      <w:r>
        <w:rPr>
          <w:rFonts w:hint="eastAsia"/>
          <w:b/>
          <w:bCs/>
          <w:szCs w:val="21"/>
          <w:lang w:eastAsia="zh-CN"/>
        </w:rPr>
        <w:t>二</w:t>
      </w:r>
      <w:r>
        <w:rPr>
          <w:b/>
          <w:bCs/>
          <w:szCs w:val="21"/>
          <w:lang w:eastAsia="zh-CN"/>
        </w:rPr>
        <w:t>、会议出席情况</w:t>
      </w:r>
    </w:p>
    <w:p>
      <w:pPr>
        <w:pStyle w:val="27"/>
        <w:numPr>
          <w:ilvl w:val="1"/>
          <w:numId w:val="3"/>
        </w:numPr>
        <w:spacing w:line="360" w:lineRule="auto"/>
        <w:ind w:firstLineChars="0"/>
        <w:rPr>
          <w:rFonts w:eastAsiaTheme="minorEastAsia"/>
          <w:sz w:val="24"/>
          <w:szCs w:val="21"/>
        </w:rPr>
      </w:pPr>
      <w:r>
        <w:rPr>
          <w:rFonts w:eastAsiaTheme="minorEastAsia"/>
          <w:sz w:val="24"/>
          <w:szCs w:val="21"/>
        </w:rPr>
        <w:t>股东总体出席情况</w:t>
      </w:r>
    </w:p>
    <w:p>
      <w:pPr>
        <w:spacing w:line="360" w:lineRule="auto"/>
        <w:ind w:firstLine="480" w:firstLineChars="200"/>
        <w:rPr>
          <w:rFonts w:eastAsiaTheme="minorEastAsia"/>
          <w:sz w:val="24"/>
          <w:highlight w:val="yellow"/>
        </w:rPr>
      </w:pPr>
      <w:r>
        <w:rPr>
          <w:rFonts w:hint="eastAsia"/>
          <w:sz w:val="24"/>
          <w:highlight w:val="yellow"/>
          <w:lang w:eastAsia="zh-CN"/>
        </w:rPr>
        <w:t xml:space="preserve"> 通过现场和网络投票的股东133人，代表股份131,201,110股，占上市公司总股份</w:t>
      </w:r>
      <w:r>
        <w:rPr>
          <w:rFonts w:hint="eastAsia" w:eastAsiaTheme="minorEastAsia"/>
          <w:sz w:val="24"/>
          <w:highlight w:val="yellow"/>
        </w:rPr>
        <w:t>（</w:t>
      </w:r>
      <w:r>
        <w:rPr>
          <w:rFonts w:hint="eastAsia" w:eastAsiaTheme="minorEastAsia"/>
          <w:sz w:val="24"/>
          <w:highlight w:val="yellow"/>
          <w:lang w:val="en-US" w:eastAsia="zh-CN"/>
        </w:rPr>
        <w:t>指</w:t>
      </w:r>
      <w:r>
        <w:rPr>
          <w:rFonts w:hint="eastAsia" w:eastAsiaTheme="minorEastAsia"/>
          <w:sz w:val="24"/>
          <w:highlight w:val="yellow"/>
        </w:rPr>
        <w:t>剔除公司回购专用账户后</w:t>
      </w:r>
      <w:r>
        <w:rPr>
          <w:rFonts w:hint="eastAsia" w:eastAsiaTheme="minorEastAsia"/>
          <w:sz w:val="24"/>
          <w:highlight w:val="yellow"/>
          <w:lang w:val="en-US" w:eastAsia="zh-CN"/>
        </w:rPr>
        <w:t>的</w:t>
      </w:r>
      <w:r>
        <w:rPr>
          <w:rFonts w:hint="eastAsia" w:eastAsiaTheme="minorEastAsia"/>
          <w:sz w:val="24"/>
          <w:highlight w:val="yellow"/>
        </w:rPr>
        <w:t>总股本，下同）的</w:t>
      </w:r>
      <w:r>
        <w:rPr>
          <w:rFonts w:hint="eastAsia"/>
          <w:sz w:val="24"/>
          <w:highlight w:val="yellow"/>
          <w:lang w:eastAsia="zh-CN"/>
        </w:rPr>
        <w:t>62.0655％</w:t>
      </w:r>
      <w:r>
        <w:rPr>
          <w:rFonts w:hint="eastAsia" w:eastAsiaTheme="minorEastAsia"/>
          <w:sz w:val="24"/>
          <w:highlight w:val="yellow"/>
        </w:rPr>
        <w:t>。</w:t>
      </w:r>
    </w:p>
    <w:p>
      <w:pPr>
        <w:spacing w:line="360" w:lineRule="auto"/>
        <w:ind w:firstLine="480" w:firstLineChars="200"/>
        <w:rPr>
          <w:rFonts w:eastAsiaTheme="minorEastAsia"/>
          <w:sz w:val="24"/>
          <w:highlight w:val="yellow"/>
        </w:rPr>
      </w:pPr>
      <w:r>
        <w:rPr>
          <w:rFonts w:hint="eastAsia" w:eastAsiaTheme="minorEastAsia"/>
          <w:sz w:val="24"/>
          <w:highlight w:val="yellow"/>
          <w:lang w:val="en-US" w:eastAsia="zh-CN"/>
        </w:rPr>
        <w:t>其中，</w:t>
      </w:r>
      <w:r>
        <w:rPr>
          <w:rFonts w:eastAsiaTheme="minorEastAsia"/>
          <w:sz w:val="24"/>
          <w:highlight w:val="yellow"/>
        </w:rPr>
        <w:t>出席本次会议的中小股东及股东代理人共</w:t>
      </w:r>
      <w:r>
        <w:rPr>
          <w:rFonts w:hint="eastAsia"/>
          <w:sz w:val="24"/>
          <w:highlight w:val="yellow"/>
          <w:lang w:eastAsia="zh-CN"/>
        </w:rPr>
        <w:t>131人，代表股份25,361,430股，占上市公司总股份的11.9974％。</w:t>
      </w:r>
    </w:p>
    <w:p>
      <w:pPr>
        <w:pStyle w:val="27"/>
        <w:numPr>
          <w:ilvl w:val="1"/>
          <w:numId w:val="3"/>
        </w:numPr>
        <w:spacing w:line="360" w:lineRule="auto"/>
        <w:ind w:firstLineChars="0"/>
        <w:rPr>
          <w:rFonts w:eastAsiaTheme="minorEastAsia"/>
          <w:sz w:val="24"/>
          <w:szCs w:val="21"/>
          <w:highlight w:val="none"/>
        </w:rPr>
      </w:pPr>
      <w:r>
        <w:rPr>
          <w:rFonts w:eastAsiaTheme="minorEastAsia"/>
          <w:sz w:val="24"/>
          <w:szCs w:val="21"/>
          <w:highlight w:val="none"/>
        </w:rPr>
        <w:t>股东现场出席情况</w:t>
      </w:r>
    </w:p>
    <w:p>
      <w:pPr>
        <w:spacing w:line="360" w:lineRule="auto"/>
        <w:ind w:firstLine="480" w:firstLineChars="200"/>
        <w:rPr>
          <w:rFonts w:hint="eastAsia"/>
          <w:sz w:val="24"/>
          <w:highlight w:val="yellow"/>
          <w:lang w:eastAsia="zh-CN"/>
        </w:rPr>
      </w:pPr>
      <w:r>
        <w:rPr>
          <w:rFonts w:eastAsiaTheme="minorEastAsia"/>
          <w:sz w:val="24"/>
          <w:highlight w:val="yellow"/>
        </w:rPr>
        <w:t>参加本次股东大会现场会议的股东及股东代理人共</w:t>
      </w:r>
      <w:r>
        <w:rPr>
          <w:rFonts w:hint="eastAsia"/>
          <w:sz w:val="24"/>
          <w:highlight w:val="yellow"/>
          <w:lang w:eastAsia="zh-CN"/>
        </w:rPr>
        <w:t>6人，代表股份111,490,654股，占上市公司总股份的52.7414％。</w:t>
      </w:r>
    </w:p>
    <w:p>
      <w:pPr>
        <w:spacing w:line="360" w:lineRule="auto"/>
        <w:rPr>
          <w:rFonts w:hint="eastAsia"/>
          <w:sz w:val="24"/>
          <w:highlight w:val="yellow"/>
        </w:rPr>
      </w:pPr>
    </w:p>
    <w:p>
      <w:pPr>
        <w:spacing w:line="360" w:lineRule="auto"/>
        <w:ind w:firstLine="480" w:firstLineChars="200"/>
        <w:rPr>
          <w:rFonts w:hint="eastAsia"/>
          <w:sz w:val="24"/>
          <w:highlight w:val="none"/>
          <w:lang w:eastAsia="zh-CN"/>
        </w:rPr>
      </w:pPr>
      <w:r>
        <w:rPr>
          <w:rFonts w:hint="eastAsia"/>
          <w:sz w:val="24"/>
          <w:highlight w:val="yellow"/>
          <w:lang w:val="en-US" w:eastAsia="zh-CN"/>
        </w:rPr>
        <w:t>其中，</w:t>
      </w:r>
      <w:r>
        <w:rPr>
          <w:rFonts w:hint="eastAsia"/>
          <w:sz w:val="24"/>
          <w:highlight w:val="yellow"/>
          <w:lang w:eastAsia="zh-CN"/>
        </w:rPr>
        <w:t>现场出席本次会议的中小股东及股东代理人共</w:t>
      </w:r>
      <w:r>
        <w:rPr>
          <w:rFonts w:hint="eastAsia"/>
          <w:sz w:val="24"/>
          <w:highlight w:val="yellow"/>
          <w:lang w:val="en-US" w:eastAsia="zh-CN"/>
        </w:rPr>
        <w:t>4</w:t>
      </w:r>
      <w:r>
        <w:rPr>
          <w:rFonts w:hint="eastAsia"/>
          <w:sz w:val="24"/>
          <w:highlight w:val="yellow"/>
          <w:lang w:eastAsia="zh-CN"/>
        </w:rPr>
        <w:t>人，代表股份5,650,974股，占上市公司总股份的2.6732％。</w:t>
      </w:r>
    </w:p>
    <w:p>
      <w:pPr>
        <w:pStyle w:val="27"/>
        <w:numPr>
          <w:ilvl w:val="1"/>
          <w:numId w:val="3"/>
        </w:numPr>
        <w:spacing w:line="360" w:lineRule="auto"/>
        <w:ind w:firstLineChars="0"/>
        <w:rPr>
          <w:rFonts w:eastAsiaTheme="minorEastAsia"/>
          <w:sz w:val="24"/>
          <w:szCs w:val="21"/>
          <w:highlight w:val="none"/>
        </w:rPr>
      </w:pPr>
      <w:r>
        <w:rPr>
          <w:rFonts w:eastAsiaTheme="minorEastAsia"/>
          <w:sz w:val="24"/>
          <w:szCs w:val="21"/>
          <w:highlight w:val="none"/>
        </w:rPr>
        <w:t>股东网络投票情况</w:t>
      </w:r>
    </w:p>
    <w:p>
      <w:pPr>
        <w:spacing w:line="360" w:lineRule="auto"/>
        <w:ind w:firstLine="480" w:firstLineChars="200"/>
        <w:rPr>
          <w:rFonts w:hint="eastAsia"/>
          <w:sz w:val="24"/>
          <w:highlight w:val="yellow"/>
          <w:lang w:eastAsia="zh-CN"/>
        </w:rPr>
      </w:pPr>
      <w:r>
        <w:rPr>
          <w:rFonts w:eastAsiaTheme="minorEastAsia"/>
          <w:sz w:val="24"/>
          <w:highlight w:val="yellow"/>
        </w:rPr>
        <w:t>通过网络投票表决的股东及股东代理人共</w:t>
      </w:r>
      <w:r>
        <w:rPr>
          <w:rFonts w:hint="eastAsia"/>
          <w:sz w:val="24"/>
          <w:highlight w:val="yellow"/>
          <w:lang w:eastAsia="zh-CN"/>
        </w:rPr>
        <w:t>127人，代表股份19,710,456股，占上市公司总股份的9.3242％。</w:t>
      </w:r>
    </w:p>
    <w:p>
      <w:pPr>
        <w:spacing w:line="360" w:lineRule="auto"/>
        <w:ind w:firstLine="480" w:firstLineChars="200"/>
        <w:rPr>
          <w:rFonts w:hint="eastAsia"/>
          <w:sz w:val="24"/>
          <w:highlight w:val="yellow"/>
          <w:lang w:eastAsia="zh-CN"/>
        </w:rPr>
      </w:pPr>
      <w:r>
        <w:rPr>
          <w:rFonts w:hint="eastAsia" w:eastAsiaTheme="minorEastAsia"/>
          <w:sz w:val="24"/>
          <w:highlight w:val="yellow"/>
          <w:lang w:val="en-US" w:eastAsia="zh-CN"/>
        </w:rPr>
        <w:t>其中，</w:t>
      </w:r>
      <w:r>
        <w:rPr>
          <w:rFonts w:eastAsiaTheme="minorEastAsia"/>
          <w:sz w:val="24"/>
          <w:highlight w:val="yellow"/>
        </w:rPr>
        <w:t>通过网络投票表决的中小股东及股东共</w:t>
      </w:r>
      <w:r>
        <w:rPr>
          <w:rFonts w:hint="eastAsia"/>
          <w:sz w:val="24"/>
          <w:highlight w:val="yellow"/>
          <w:lang w:eastAsia="zh-CN"/>
        </w:rPr>
        <w:t>127人，代表股份19,710,456股，占上市公司总股份的9.3242％。</w:t>
      </w:r>
    </w:p>
    <w:p>
      <w:pPr>
        <w:pStyle w:val="27"/>
        <w:numPr>
          <w:ilvl w:val="1"/>
          <w:numId w:val="3"/>
        </w:numPr>
        <w:spacing w:line="360" w:lineRule="auto"/>
        <w:ind w:firstLineChars="0"/>
        <w:rPr>
          <w:rFonts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szCs w:val="21"/>
          <w14:textFill>
            <w14:solidFill>
              <w14:schemeClr w14:val="tx1"/>
            </w14:solidFill>
          </w14:textFill>
        </w:rPr>
        <w:t>公司部分董事、监事、高级管理人员出席或列席了本次会议。</w:t>
      </w:r>
    </w:p>
    <w:p>
      <w:pPr>
        <w:pStyle w:val="27"/>
        <w:numPr>
          <w:ilvl w:val="1"/>
          <w:numId w:val="3"/>
        </w:numPr>
        <w:spacing w:line="360" w:lineRule="auto"/>
        <w:ind w:firstLineChars="0"/>
        <w:rPr>
          <w:rFonts w:eastAsiaTheme="minorEastAsia"/>
          <w:color w:val="000000" w:themeColor="text1"/>
          <w:sz w:val="24"/>
          <w14:textFill>
            <w14:solidFill>
              <w14:schemeClr w14:val="tx1"/>
            </w14:solidFill>
          </w14:textFill>
        </w:rPr>
      </w:pPr>
      <w:r>
        <w:rPr>
          <w:rFonts w:eastAsiaTheme="minorEastAsia"/>
          <w:color w:val="000000" w:themeColor="text1"/>
          <w:sz w:val="24"/>
          <w14:textFill>
            <w14:solidFill>
              <w14:schemeClr w14:val="tx1"/>
            </w14:solidFill>
          </w14:textFill>
        </w:rPr>
        <w:t>见证律师出席了本次会议</w:t>
      </w:r>
      <w:r>
        <w:rPr>
          <w:rFonts w:hint="eastAsia" w:eastAsiaTheme="minorEastAsia"/>
          <w:color w:val="000000" w:themeColor="text1"/>
          <w:sz w:val="24"/>
          <w14:textFill>
            <w14:solidFill>
              <w14:schemeClr w14:val="tx1"/>
            </w14:solidFill>
          </w14:textFill>
        </w:rPr>
        <w:t>。</w:t>
      </w:r>
    </w:p>
    <w:p>
      <w:pPr>
        <w:pStyle w:val="26"/>
        <w:tabs>
          <w:tab w:val="left" w:pos="993"/>
        </w:tabs>
        <w:spacing w:before="156" w:beforeLines="50" w:after="156"/>
        <w:ind w:firstLine="482"/>
        <w:rPr>
          <w:b/>
          <w:bCs/>
          <w:szCs w:val="21"/>
          <w:lang w:eastAsia="zh-CN"/>
        </w:rPr>
      </w:pPr>
      <w:r>
        <w:rPr>
          <w:rFonts w:hint="eastAsia"/>
          <w:b/>
          <w:bCs/>
          <w:szCs w:val="21"/>
          <w:lang w:eastAsia="zh-CN"/>
        </w:rPr>
        <w:t>三</w:t>
      </w:r>
      <w:r>
        <w:rPr>
          <w:b/>
          <w:bCs/>
          <w:szCs w:val="21"/>
          <w:lang w:eastAsia="zh-CN"/>
        </w:rPr>
        <w:t>、议案表决情况</w:t>
      </w:r>
    </w:p>
    <w:p>
      <w:pPr>
        <w:spacing w:line="360" w:lineRule="auto"/>
        <w:ind w:firstLine="480" w:firstLineChars="200"/>
        <w:rPr>
          <w:rFonts w:eastAsiaTheme="minorEastAsia"/>
          <w:sz w:val="24"/>
          <w:szCs w:val="21"/>
        </w:rPr>
      </w:pPr>
      <w:r>
        <w:rPr>
          <w:rFonts w:hint="eastAsia" w:asciiTheme="minorEastAsia" w:hAnsiTheme="minorEastAsia" w:eastAsiaTheme="minorEastAsia"/>
          <w:sz w:val="24"/>
        </w:rPr>
        <w:t>本次股东大会采用现场投票与网络投票相结合的表决方式对以下议案进行了表决：</w:t>
      </w:r>
    </w:p>
    <w:p>
      <w:pPr>
        <w:spacing w:line="480" w:lineRule="exact"/>
        <w:ind w:firstLine="426" w:firstLineChars="177"/>
        <w:rPr>
          <w:rFonts w:hint="eastAsia"/>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14:textFill>
            <w14:solidFill>
              <w14:schemeClr w14:val="tx1"/>
            </w14:solidFill>
          </w14:textFill>
        </w:rPr>
        <w:t xml:space="preserve">审议通过《关于变更公司注册资本及修改章程的议案》 </w:t>
      </w:r>
    </w:p>
    <w:p>
      <w:pPr>
        <w:spacing w:line="360" w:lineRule="auto"/>
        <w:ind w:firstLine="480" w:firstLineChars="200"/>
        <w:rPr>
          <w:rFonts w:hint="eastAsia" w:asciiTheme="minorEastAsia" w:hAnsiTheme="minorEastAsia" w:eastAsiaTheme="minorEastAsia"/>
          <w:sz w:val="24"/>
          <w:highlight w:val="yellow"/>
          <w:lang w:eastAsia="zh-CN"/>
        </w:rPr>
      </w:pPr>
      <w:r>
        <w:rPr>
          <w:color w:val="000000" w:themeColor="text1"/>
          <w:sz w:val="24"/>
          <w:highlight w:val="yellow"/>
          <w14:textFill>
            <w14:solidFill>
              <w14:schemeClr w14:val="tx1"/>
            </w14:solidFill>
          </w14:textFill>
        </w:rPr>
        <w:t>表决情况：</w:t>
      </w:r>
      <w:r>
        <w:rPr>
          <w:rFonts w:hint="eastAsia" w:asciiTheme="minorEastAsia" w:hAnsiTheme="minorEastAsia" w:eastAsiaTheme="minorEastAsia"/>
          <w:sz w:val="24"/>
          <w:highlight w:val="yellow"/>
          <w:lang w:eastAsia="zh-CN"/>
        </w:rPr>
        <w:t>同意131,201,110股，占出席会议所有股东所持股份的100.0000％；反对0股，占出席会议所有股东所持股份的0.0000％；弃权0股，占出席会议所有股东所持股份的0.0000％。</w:t>
      </w:r>
    </w:p>
    <w:p>
      <w:pPr>
        <w:spacing w:line="360" w:lineRule="auto"/>
        <w:ind w:firstLine="480" w:firstLineChars="200"/>
        <w:rPr>
          <w:rFonts w:hint="eastAsia" w:asciiTheme="minorEastAsia" w:hAnsiTheme="minorEastAsia" w:eastAsiaTheme="minorEastAsia"/>
          <w:sz w:val="24"/>
          <w:highlight w:val="yellow"/>
          <w:lang w:eastAsia="zh-CN"/>
        </w:rPr>
      </w:pPr>
      <w:r>
        <w:rPr>
          <w:color w:val="000000" w:themeColor="text1"/>
          <w:sz w:val="24"/>
          <w:highlight w:val="yellow"/>
          <w14:textFill>
            <w14:solidFill>
              <w14:schemeClr w14:val="tx1"/>
            </w14:solidFill>
          </w14:textFill>
        </w:rPr>
        <w:t>中小股东表决情况：</w:t>
      </w:r>
      <w:r>
        <w:rPr>
          <w:rFonts w:hint="eastAsia" w:asciiTheme="minorEastAsia" w:hAnsiTheme="minorEastAsia" w:eastAsiaTheme="minorEastAsia"/>
          <w:sz w:val="24"/>
          <w:highlight w:val="yellow"/>
          <w:lang w:eastAsia="zh-CN"/>
        </w:rPr>
        <w:t>同意25,361,430股，占出席会议的中小股东所持股份的100.0000％；反对0股，占出席会议的中小股东所持股份的0.0000％；弃权0股，占出席会议的中小股东所持股份的0.0000％。</w:t>
      </w:r>
    </w:p>
    <w:p>
      <w:pPr>
        <w:spacing w:line="480" w:lineRule="exact"/>
        <w:ind w:firstLine="426" w:firstLineChars="177"/>
        <w:rPr>
          <w:rFonts w:hint="eastAsia"/>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14:textFill>
            <w14:solidFill>
              <w14:schemeClr w14:val="tx1"/>
            </w14:solidFill>
          </w14:textFill>
        </w:rPr>
        <w:t xml:space="preserve">审议通过《关于补选公司监事的议案》 </w:t>
      </w:r>
    </w:p>
    <w:p>
      <w:pPr>
        <w:spacing w:line="360" w:lineRule="auto"/>
        <w:ind w:firstLine="480" w:firstLineChars="200"/>
        <w:rPr>
          <w:rFonts w:hint="eastAsia" w:asciiTheme="minorEastAsia" w:hAnsiTheme="minorEastAsia" w:eastAsiaTheme="minorEastAsia"/>
          <w:sz w:val="24"/>
          <w:highlight w:val="yellow"/>
          <w:lang w:eastAsia="zh-CN"/>
        </w:rPr>
      </w:pPr>
      <w:bookmarkStart w:id="3" w:name="_GoBack"/>
      <w:r>
        <w:rPr>
          <w:color w:val="000000" w:themeColor="text1"/>
          <w:sz w:val="24"/>
          <w:highlight w:val="yellow"/>
          <w14:textFill>
            <w14:solidFill>
              <w14:schemeClr w14:val="tx1"/>
            </w14:solidFill>
          </w14:textFill>
        </w:rPr>
        <w:t>表决情况：</w:t>
      </w:r>
      <w:r>
        <w:rPr>
          <w:rFonts w:hint="eastAsia" w:asciiTheme="minorEastAsia" w:hAnsiTheme="minorEastAsia" w:eastAsiaTheme="minorEastAsia"/>
          <w:sz w:val="24"/>
          <w:highlight w:val="yellow"/>
          <w:lang w:eastAsia="zh-CN"/>
        </w:rPr>
        <w:t>同意131,201,110股，占出席会议所有股东所持股份的100.0000％；反对0股，占出席会议所有股东所持股份的0.0000％；弃权0股，占出席会议所有股东所持股份的0.0000％。</w:t>
      </w:r>
    </w:p>
    <w:p>
      <w:pPr>
        <w:spacing w:line="360" w:lineRule="auto"/>
        <w:ind w:firstLine="480" w:firstLineChars="200"/>
        <w:rPr>
          <w:rFonts w:hint="eastAsia" w:asciiTheme="minorEastAsia" w:hAnsiTheme="minorEastAsia" w:eastAsiaTheme="minorEastAsia"/>
          <w:sz w:val="24"/>
          <w:highlight w:val="yellow"/>
          <w:lang w:eastAsia="zh-CN"/>
        </w:rPr>
      </w:pPr>
      <w:r>
        <w:rPr>
          <w:color w:val="000000" w:themeColor="text1"/>
          <w:sz w:val="24"/>
          <w:highlight w:val="yellow"/>
          <w14:textFill>
            <w14:solidFill>
              <w14:schemeClr w14:val="tx1"/>
            </w14:solidFill>
          </w14:textFill>
        </w:rPr>
        <w:t>中小股东表决情况：</w:t>
      </w:r>
      <w:r>
        <w:rPr>
          <w:rFonts w:hint="eastAsia" w:asciiTheme="minorEastAsia" w:hAnsiTheme="minorEastAsia" w:eastAsiaTheme="minorEastAsia"/>
          <w:sz w:val="24"/>
          <w:highlight w:val="yellow"/>
          <w:lang w:eastAsia="zh-CN"/>
        </w:rPr>
        <w:t>同意25,361,430股，占出席会议的中小股东所持股份的100.0000％；反对0股，占出席会议的中小股东所持股份的0.0000％；弃权0股，占出席会议的中小股东所持股份的0.0000％。</w:t>
      </w:r>
    </w:p>
    <w:bookmarkEnd w:id="3"/>
    <w:p>
      <w:pPr>
        <w:spacing w:line="360" w:lineRule="auto"/>
        <w:ind w:firstLine="480" w:firstLineChars="200"/>
        <w:rPr>
          <w:rFonts w:hint="eastAsia" w:asciiTheme="minorEastAsia" w:hAnsiTheme="minorEastAsia" w:eastAsiaTheme="minorEastAsia"/>
          <w:sz w:val="24"/>
          <w:lang w:eastAsia="zh-CN"/>
        </w:rPr>
      </w:pPr>
    </w:p>
    <w:p>
      <w:pPr>
        <w:pStyle w:val="26"/>
        <w:tabs>
          <w:tab w:val="left" w:pos="993"/>
        </w:tabs>
        <w:spacing w:before="156" w:beforeLines="50" w:after="156"/>
        <w:ind w:firstLine="482"/>
        <w:rPr>
          <w:b/>
          <w:bCs/>
          <w:szCs w:val="21"/>
          <w:lang w:eastAsia="zh-CN"/>
        </w:rPr>
      </w:pPr>
      <w:r>
        <w:rPr>
          <w:b/>
          <w:bCs/>
          <w:szCs w:val="21"/>
          <w:lang w:eastAsia="zh-CN"/>
        </w:rPr>
        <w:t>四、律师见证情况</w:t>
      </w:r>
      <w:r>
        <w:rPr>
          <w:rFonts w:hint="eastAsia"/>
          <w:b/>
          <w:bCs/>
          <w:szCs w:val="21"/>
          <w:lang w:eastAsia="zh-CN"/>
        </w:rPr>
        <w:t xml:space="preserve"> </w:t>
      </w:r>
    </w:p>
    <w:p>
      <w:pPr>
        <w:spacing w:line="360" w:lineRule="auto"/>
        <w:ind w:firstLine="480" w:firstLineChars="200"/>
        <w:rPr>
          <w:rFonts w:eastAsiaTheme="minorEastAsia"/>
          <w:sz w:val="24"/>
          <w:szCs w:val="21"/>
        </w:rPr>
      </w:pPr>
      <w:r>
        <w:rPr>
          <w:rFonts w:hint="eastAsia"/>
          <w:sz w:val="24"/>
        </w:rPr>
        <w:t>受新型冠状病毒感染肺炎疫情的影响，国浩</w:t>
      </w:r>
      <w:r>
        <w:rPr>
          <w:sz w:val="24"/>
        </w:rPr>
        <w:t>律师</w:t>
      </w:r>
      <w:r>
        <w:rPr>
          <w:rFonts w:hint="eastAsia"/>
          <w:sz w:val="24"/>
        </w:rPr>
        <w:t>（上海）</w:t>
      </w:r>
      <w:r>
        <w:rPr>
          <w:sz w:val="24"/>
        </w:rPr>
        <w:t>事务所律师</w:t>
      </w:r>
      <w:r>
        <w:rPr>
          <w:rFonts w:hint="eastAsia"/>
          <w:sz w:val="24"/>
        </w:rPr>
        <w:t>通过</w:t>
      </w:r>
      <w:r>
        <w:rPr>
          <w:rFonts w:hint="eastAsia"/>
          <w:sz w:val="24"/>
          <w:lang w:val="en-US" w:eastAsia="zh-CN"/>
        </w:rPr>
        <w:t>网络会议</w:t>
      </w:r>
      <w:r>
        <w:rPr>
          <w:rFonts w:hint="eastAsia"/>
          <w:sz w:val="24"/>
        </w:rPr>
        <w:t>方式参</w:t>
      </w:r>
      <w:r>
        <w:rPr>
          <w:sz w:val="24"/>
        </w:rPr>
        <w:t>会见证本次股东大会并出具《法律意见书》</w:t>
      </w:r>
      <w:r>
        <w:rPr>
          <w:rFonts w:hint="eastAsia"/>
          <w:sz w:val="24"/>
        </w:rPr>
        <w:t>：</w:t>
      </w:r>
      <w:r>
        <w:rPr>
          <w:rFonts w:eastAsiaTheme="minorEastAsia"/>
          <w:sz w:val="24"/>
          <w:szCs w:val="21"/>
        </w:rPr>
        <w:t>经</w:t>
      </w:r>
      <w:r>
        <w:rPr>
          <w:rFonts w:hint="eastAsia" w:eastAsiaTheme="minorEastAsia"/>
          <w:sz w:val="24"/>
          <w:szCs w:val="21"/>
        </w:rPr>
        <w:t>见证</w:t>
      </w:r>
      <w:r>
        <w:rPr>
          <w:rFonts w:eastAsiaTheme="minorEastAsia"/>
          <w:sz w:val="24"/>
          <w:szCs w:val="21"/>
        </w:rPr>
        <w:t>，公司本次股东大会的召集、召开程序符合法律、行政法规、《上市公司股东大会规则》及《公司章程》的规定，出席会议人员及会议召集人的资格均合法有效，本次股东大会的表决程序、表决结果合法有效。</w:t>
      </w:r>
    </w:p>
    <w:p>
      <w:pPr>
        <w:pStyle w:val="26"/>
        <w:tabs>
          <w:tab w:val="left" w:pos="993"/>
        </w:tabs>
        <w:spacing w:before="156" w:beforeLines="50" w:after="156"/>
        <w:ind w:firstLine="482"/>
        <w:rPr>
          <w:b/>
          <w:bCs/>
          <w:szCs w:val="21"/>
          <w:lang w:eastAsia="zh-CN"/>
        </w:rPr>
      </w:pPr>
      <w:r>
        <w:rPr>
          <w:b/>
          <w:bCs/>
          <w:szCs w:val="21"/>
          <w:lang w:eastAsia="zh-CN"/>
        </w:rPr>
        <w:t xml:space="preserve">五、备查文件 </w:t>
      </w:r>
    </w:p>
    <w:p>
      <w:pPr>
        <w:autoSpaceDE w:val="0"/>
        <w:autoSpaceDN w:val="0"/>
        <w:adjustRightInd w:val="0"/>
        <w:spacing w:line="360" w:lineRule="auto"/>
        <w:ind w:firstLine="480" w:firstLineChars="200"/>
        <w:rPr>
          <w:rFonts w:eastAsiaTheme="minorEastAsia"/>
          <w:sz w:val="24"/>
          <w:szCs w:val="21"/>
        </w:rPr>
      </w:pPr>
      <w:r>
        <w:rPr>
          <w:rFonts w:eastAsiaTheme="minorEastAsia"/>
          <w:sz w:val="24"/>
          <w:szCs w:val="21"/>
        </w:rPr>
        <w:t>1、江苏海晨物流股份有限公司</w:t>
      </w:r>
      <w:r>
        <w:rPr>
          <w:rFonts w:hint="eastAsia" w:eastAsiaTheme="minorEastAsia"/>
          <w:sz w:val="24"/>
          <w:szCs w:val="21"/>
          <w:lang w:eastAsia="zh-CN"/>
        </w:rPr>
        <w:t>2023年第一次</w:t>
      </w:r>
      <w:r>
        <w:rPr>
          <w:rFonts w:eastAsiaTheme="minorEastAsia"/>
          <w:sz w:val="24"/>
          <w:szCs w:val="21"/>
        </w:rPr>
        <w:t>临时股东大会决议；</w:t>
      </w:r>
    </w:p>
    <w:p>
      <w:pPr>
        <w:autoSpaceDE w:val="0"/>
        <w:autoSpaceDN w:val="0"/>
        <w:adjustRightInd w:val="0"/>
        <w:spacing w:line="360" w:lineRule="auto"/>
        <w:ind w:firstLine="480" w:firstLineChars="200"/>
        <w:rPr>
          <w:rFonts w:eastAsiaTheme="minorEastAsia"/>
          <w:sz w:val="24"/>
          <w:szCs w:val="21"/>
        </w:rPr>
      </w:pPr>
      <w:r>
        <w:rPr>
          <w:rFonts w:eastAsiaTheme="minorEastAsia"/>
          <w:sz w:val="24"/>
          <w:szCs w:val="21"/>
        </w:rPr>
        <w:t>2、关于江苏海晨物流股份有限公司</w:t>
      </w:r>
      <w:r>
        <w:rPr>
          <w:rFonts w:hint="eastAsia" w:eastAsiaTheme="minorEastAsia"/>
          <w:sz w:val="24"/>
          <w:szCs w:val="21"/>
          <w:lang w:eastAsia="zh-CN"/>
        </w:rPr>
        <w:t>2023年第一次</w:t>
      </w:r>
      <w:r>
        <w:rPr>
          <w:rFonts w:eastAsiaTheme="minorEastAsia"/>
          <w:sz w:val="24"/>
          <w:szCs w:val="21"/>
        </w:rPr>
        <w:t>临时股东大会的法律意见书。</w:t>
      </w:r>
    </w:p>
    <w:p>
      <w:pPr>
        <w:tabs>
          <w:tab w:val="left" w:pos="540"/>
        </w:tabs>
        <w:spacing w:line="360" w:lineRule="auto"/>
        <w:ind w:left="2" w:leftChars="1" w:firstLine="480" w:firstLineChars="200"/>
        <w:rPr>
          <w:rFonts w:asciiTheme="minorEastAsia" w:hAnsiTheme="minorEastAsia" w:eastAsiaTheme="minorEastAsia"/>
          <w:sz w:val="24"/>
          <w:szCs w:val="21"/>
        </w:rPr>
      </w:pPr>
    </w:p>
    <w:p>
      <w:pPr>
        <w:tabs>
          <w:tab w:val="left" w:pos="540"/>
        </w:tabs>
        <w:spacing w:line="360" w:lineRule="auto"/>
        <w:ind w:left="2" w:leftChars="1" w:firstLine="600" w:firstLineChars="250"/>
        <w:rPr>
          <w:rFonts w:asciiTheme="minorEastAsia" w:hAnsiTheme="minorEastAsia" w:eastAsiaTheme="minorEastAsia"/>
          <w:bCs/>
          <w:sz w:val="24"/>
          <w:szCs w:val="21"/>
        </w:rPr>
      </w:pPr>
      <w:r>
        <w:rPr>
          <w:rFonts w:asciiTheme="minorEastAsia" w:hAnsiTheme="minorEastAsia" w:eastAsiaTheme="minorEastAsia"/>
          <w:bCs/>
          <w:sz w:val="24"/>
          <w:szCs w:val="21"/>
        </w:rPr>
        <w:t>特此公告。</w:t>
      </w:r>
    </w:p>
    <w:p>
      <w:pPr>
        <w:pStyle w:val="4"/>
        <w:spacing w:line="360" w:lineRule="auto"/>
        <w:ind w:right="-512" w:rightChars="-244" w:firstLine="480" w:firstLineChars="200"/>
        <w:rPr>
          <w:rFonts w:asciiTheme="minorEastAsia" w:hAnsiTheme="minorEastAsia" w:eastAsiaTheme="minorEastAsia"/>
          <w:sz w:val="24"/>
          <w:szCs w:val="24"/>
        </w:rPr>
      </w:pPr>
    </w:p>
    <w:p>
      <w:pPr>
        <w:pStyle w:val="4"/>
        <w:adjustRightInd w:val="0"/>
        <w:spacing w:line="360" w:lineRule="auto"/>
        <w:jc w:val="right"/>
        <w:rPr>
          <w:rFonts w:asciiTheme="minorEastAsia" w:hAnsiTheme="minorEastAsia" w:eastAsiaTheme="minorEastAsia"/>
          <w:b/>
          <w:sz w:val="24"/>
          <w:szCs w:val="24"/>
        </w:rPr>
      </w:pPr>
      <w:r>
        <w:rPr>
          <w:rFonts w:hint="eastAsia"/>
          <w:b/>
          <w:sz w:val="24"/>
          <w:szCs w:val="24"/>
        </w:rPr>
        <w:t>江苏海晨物流股份有限公司董事会</w:t>
      </w:r>
    </w:p>
    <w:p>
      <w:pPr>
        <w:pStyle w:val="4"/>
        <w:adjustRightInd w:val="0"/>
        <w:spacing w:line="360" w:lineRule="auto"/>
        <w:jc w:val="right"/>
        <w:rPr>
          <w:b/>
          <w:sz w:val="24"/>
        </w:rPr>
      </w:pPr>
      <w:r>
        <w:rPr>
          <w:rFonts w:hint="eastAsia"/>
          <w:b/>
          <w:sz w:val="24"/>
          <w:szCs w:val="24"/>
        </w:rPr>
        <w:t>202</w:t>
      </w:r>
      <w:r>
        <w:rPr>
          <w:rFonts w:hint="eastAsia"/>
          <w:b/>
          <w:sz w:val="24"/>
          <w:szCs w:val="24"/>
          <w:lang w:val="en-US" w:eastAsia="zh-CN"/>
        </w:rPr>
        <w:t>3</w:t>
      </w:r>
      <w:r>
        <w:rPr>
          <w:rFonts w:hint="eastAsia"/>
          <w:b/>
          <w:sz w:val="24"/>
          <w:szCs w:val="24"/>
        </w:rPr>
        <w:t>年</w:t>
      </w:r>
      <w:r>
        <w:rPr>
          <w:rFonts w:hint="eastAsia"/>
          <w:b/>
          <w:sz w:val="24"/>
          <w:szCs w:val="24"/>
          <w:lang w:val="en-US" w:eastAsia="zh-CN"/>
        </w:rPr>
        <w:t>3</w:t>
      </w:r>
      <w:r>
        <w:rPr>
          <w:rFonts w:hint="eastAsia"/>
          <w:b/>
          <w:sz w:val="24"/>
          <w:szCs w:val="24"/>
        </w:rPr>
        <w:t>月</w:t>
      </w:r>
      <w:r>
        <w:rPr>
          <w:rFonts w:hint="eastAsia"/>
          <w:b/>
          <w:sz w:val="24"/>
          <w:szCs w:val="24"/>
          <w:lang w:val="en-US" w:eastAsia="zh-CN"/>
        </w:rPr>
        <w:t>1</w:t>
      </w:r>
      <w:r>
        <w:rPr>
          <w:rFonts w:hint="eastAsia"/>
          <w:b/>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F3FC6"/>
    <w:multiLevelType w:val="multilevel"/>
    <w:tmpl w:val="19DF3FC6"/>
    <w:lvl w:ilvl="0" w:tentative="0">
      <w:start w:val="1"/>
      <w:numFmt w:val="decimal"/>
      <w:suff w:val="spac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8D633F0"/>
    <w:multiLevelType w:val="multilevel"/>
    <w:tmpl w:val="38D633F0"/>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2A6678"/>
    <w:multiLevelType w:val="multilevel"/>
    <w:tmpl w:val="7E2A6678"/>
    <w:lvl w:ilvl="0" w:tentative="0">
      <w:start w:val="1"/>
      <w:numFmt w:val="decimal"/>
      <w:suff w:val="space"/>
      <w:lvlText w:val="  %1、"/>
      <w:lvlJc w:val="left"/>
      <w:pPr>
        <w:ind w:left="900" w:hanging="420"/>
      </w:pPr>
      <w:rPr>
        <w:rFonts w:hint="default" w:ascii="Times New Roman" w:hAnsi="Times New Roman" w:cs="Times New Roman"/>
      </w:rPr>
    </w:lvl>
    <w:lvl w:ilvl="1" w:tentative="0">
      <w:start w:val="1"/>
      <w:numFmt w:val="japaneseCounting"/>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8022E8"/>
    <w:rsid w:val="00015BF9"/>
    <w:rsid w:val="00027D6A"/>
    <w:rsid w:val="00037B8D"/>
    <w:rsid w:val="000423AF"/>
    <w:rsid w:val="00051999"/>
    <w:rsid w:val="0005481C"/>
    <w:rsid w:val="0005741C"/>
    <w:rsid w:val="00057BD2"/>
    <w:rsid w:val="0006124F"/>
    <w:rsid w:val="000632CE"/>
    <w:rsid w:val="00065447"/>
    <w:rsid w:val="00067B40"/>
    <w:rsid w:val="00094957"/>
    <w:rsid w:val="000A0A38"/>
    <w:rsid w:val="000A2F84"/>
    <w:rsid w:val="000A5A96"/>
    <w:rsid w:val="000B075D"/>
    <w:rsid w:val="000C5FA5"/>
    <w:rsid w:val="000D0537"/>
    <w:rsid w:val="000D54EF"/>
    <w:rsid w:val="000E7BE5"/>
    <w:rsid w:val="00106635"/>
    <w:rsid w:val="00106DBF"/>
    <w:rsid w:val="00111FF4"/>
    <w:rsid w:val="00120AB7"/>
    <w:rsid w:val="0012162A"/>
    <w:rsid w:val="00144620"/>
    <w:rsid w:val="00157661"/>
    <w:rsid w:val="00164DAF"/>
    <w:rsid w:val="001711CE"/>
    <w:rsid w:val="00175087"/>
    <w:rsid w:val="00193939"/>
    <w:rsid w:val="00196805"/>
    <w:rsid w:val="001A4784"/>
    <w:rsid w:val="001B0570"/>
    <w:rsid w:val="001C4D99"/>
    <w:rsid w:val="001C6048"/>
    <w:rsid w:val="001D22BE"/>
    <w:rsid w:val="001F489E"/>
    <w:rsid w:val="00200458"/>
    <w:rsid w:val="00217069"/>
    <w:rsid w:val="00237DC2"/>
    <w:rsid w:val="002450C7"/>
    <w:rsid w:val="002620E5"/>
    <w:rsid w:val="00272F4B"/>
    <w:rsid w:val="002752CD"/>
    <w:rsid w:val="002850B3"/>
    <w:rsid w:val="0028623F"/>
    <w:rsid w:val="002977FF"/>
    <w:rsid w:val="002A0FCF"/>
    <w:rsid w:val="002D0B75"/>
    <w:rsid w:val="002D276C"/>
    <w:rsid w:val="002E692B"/>
    <w:rsid w:val="0030026F"/>
    <w:rsid w:val="00302260"/>
    <w:rsid w:val="00303816"/>
    <w:rsid w:val="00326090"/>
    <w:rsid w:val="00327B6D"/>
    <w:rsid w:val="00345603"/>
    <w:rsid w:val="00346084"/>
    <w:rsid w:val="003527C4"/>
    <w:rsid w:val="003670F0"/>
    <w:rsid w:val="003679CF"/>
    <w:rsid w:val="00367A66"/>
    <w:rsid w:val="003749CA"/>
    <w:rsid w:val="00382949"/>
    <w:rsid w:val="0038468A"/>
    <w:rsid w:val="00385F8A"/>
    <w:rsid w:val="003952BF"/>
    <w:rsid w:val="003960B7"/>
    <w:rsid w:val="0039743B"/>
    <w:rsid w:val="003A2E2E"/>
    <w:rsid w:val="003C2238"/>
    <w:rsid w:val="003C6D15"/>
    <w:rsid w:val="003D358C"/>
    <w:rsid w:val="003D4CDA"/>
    <w:rsid w:val="003D6240"/>
    <w:rsid w:val="003D7673"/>
    <w:rsid w:val="003E2C6F"/>
    <w:rsid w:val="00410C59"/>
    <w:rsid w:val="0042398F"/>
    <w:rsid w:val="004249FC"/>
    <w:rsid w:val="0044580D"/>
    <w:rsid w:val="00446358"/>
    <w:rsid w:val="00466A0A"/>
    <w:rsid w:val="0046764A"/>
    <w:rsid w:val="00487E81"/>
    <w:rsid w:val="004A6BC7"/>
    <w:rsid w:val="004B73D0"/>
    <w:rsid w:val="004C055E"/>
    <w:rsid w:val="004E3E4C"/>
    <w:rsid w:val="004F1D7F"/>
    <w:rsid w:val="005002A3"/>
    <w:rsid w:val="0050109B"/>
    <w:rsid w:val="00501C81"/>
    <w:rsid w:val="00503F1B"/>
    <w:rsid w:val="00507D26"/>
    <w:rsid w:val="00511CDE"/>
    <w:rsid w:val="00514BA8"/>
    <w:rsid w:val="005270D4"/>
    <w:rsid w:val="0052731E"/>
    <w:rsid w:val="00543BD8"/>
    <w:rsid w:val="005458C7"/>
    <w:rsid w:val="00551AC2"/>
    <w:rsid w:val="00552BE2"/>
    <w:rsid w:val="005704BA"/>
    <w:rsid w:val="005721AB"/>
    <w:rsid w:val="00583A93"/>
    <w:rsid w:val="00586524"/>
    <w:rsid w:val="005A4BA0"/>
    <w:rsid w:val="005B49CD"/>
    <w:rsid w:val="005B62F1"/>
    <w:rsid w:val="005B683C"/>
    <w:rsid w:val="005D0E3E"/>
    <w:rsid w:val="005D2929"/>
    <w:rsid w:val="005D6E7C"/>
    <w:rsid w:val="005E1E03"/>
    <w:rsid w:val="005E2789"/>
    <w:rsid w:val="005E514B"/>
    <w:rsid w:val="005F2E30"/>
    <w:rsid w:val="00603E1F"/>
    <w:rsid w:val="00617B92"/>
    <w:rsid w:val="00621EEF"/>
    <w:rsid w:val="006236FD"/>
    <w:rsid w:val="00626D47"/>
    <w:rsid w:val="00647685"/>
    <w:rsid w:val="00697190"/>
    <w:rsid w:val="006A55F3"/>
    <w:rsid w:val="006A6B19"/>
    <w:rsid w:val="006B6920"/>
    <w:rsid w:val="006C0184"/>
    <w:rsid w:val="006C075A"/>
    <w:rsid w:val="006D0990"/>
    <w:rsid w:val="006D1EF4"/>
    <w:rsid w:val="006E5E31"/>
    <w:rsid w:val="006E6994"/>
    <w:rsid w:val="006F033E"/>
    <w:rsid w:val="00700407"/>
    <w:rsid w:val="00715096"/>
    <w:rsid w:val="00725209"/>
    <w:rsid w:val="007564C1"/>
    <w:rsid w:val="00774FE9"/>
    <w:rsid w:val="00777F3A"/>
    <w:rsid w:val="00784280"/>
    <w:rsid w:val="00793888"/>
    <w:rsid w:val="00793F48"/>
    <w:rsid w:val="007951A5"/>
    <w:rsid w:val="00795451"/>
    <w:rsid w:val="007C63AA"/>
    <w:rsid w:val="007C7E6B"/>
    <w:rsid w:val="007D2062"/>
    <w:rsid w:val="007D7082"/>
    <w:rsid w:val="007E1857"/>
    <w:rsid w:val="007F26B5"/>
    <w:rsid w:val="007F7822"/>
    <w:rsid w:val="008011A4"/>
    <w:rsid w:val="008022E8"/>
    <w:rsid w:val="00817A10"/>
    <w:rsid w:val="00817A70"/>
    <w:rsid w:val="0082501E"/>
    <w:rsid w:val="008364C0"/>
    <w:rsid w:val="00836743"/>
    <w:rsid w:val="00842FCE"/>
    <w:rsid w:val="00843ABC"/>
    <w:rsid w:val="00854244"/>
    <w:rsid w:val="00855722"/>
    <w:rsid w:val="008567BA"/>
    <w:rsid w:val="0086203A"/>
    <w:rsid w:val="0086481F"/>
    <w:rsid w:val="00864DD3"/>
    <w:rsid w:val="00890E76"/>
    <w:rsid w:val="008A0636"/>
    <w:rsid w:val="008A0D52"/>
    <w:rsid w:val="008A6984"/>
    <w:rsid w:val="008C54DE"/>
    <w:rsid w:val="008D1E74"/>
    <w:rsid w:val="008D6B60"/>
    <w:rsid w:val="008E101A"/>
    <w:rsid w:val="008E21EA"/>
    <w:rsid w:val="008E4DD7"/>
    <w:rsid w:val="008F0D57"/>
    <w:rsid w:val="008F1758"/>
    <w:rsid w:val="009054DE"/>
    <w:rsid w:val="00905D26"/>
    <w:rsid w:val="0090619F"/>
    <w:rsid w:val="00907A38"/>
    <w:rsid w:val="00914C3D"/>
    <w:rsid w:val="0093244D"/>
    <w:rsid w:val="00950DF9"/>
    <w:rsid w:val="00952D64"/>
    <w:rsid w:val="0096776F"/>
    <w:rsid w:val="00970F4C"/>
    <w:rsid w:val="009747BE"/>
    <w:rsid w:val="00975050"/>
    <w:rsid w:val="00984B2B"/>
    <w:rsid w:val="009877B5"/>
    <w:rsid w:val="009B0904"/>
    <w:rsid w:val="009B7B52"/>
    <w:rsid w:val="009C404C"/>
    <w:rsid w:val="009E237D"/>
    <w:rsid w:val="009F5EEE"/>
    <w:rsid w:val="00A01419"/>
    <w:rsid w:val="00A05750"/>
    <w:rsid w:val="00A05836"/>
    <w:rsid w:val="00A33C0F"/>
    <w:rsid w:val="00A44853"/>
    <w:rsid w:val="00A46FF7"/>
    <w:rsid w:val="00A47665"/>
    <w:rsid w:val="00A61A77"/>
    <w:rsid w:val="00A66487"/>
    <w:rsid w:val="00A72ABC"/>
    <w:rsid w:val="00A81D0E"/>
    <w:rsid w:val="00A8674B"/>
    <w:rsid w:val="00AA562D"/>
    <w:rsid w:val="00AA78A7"/>
    <w:rsid w:val="00AB0512"/>
    <w:rsid w:val="00AD0DE7"/>
    <w:rsid w:val="00AF218D"/>
    <w:rsid w:val="00B12F0B"/>
    <w:rsid w:val="00B21E17"/>
    <w:rsid w:val="00B4451C"/>
    <w:rsid w:val="00B520B7"/>
    <w:rsid w:val="00B63AE9"/>
    <w:rsid w:val="00B6537E"/>
    <w:rsid w:val="00B663E9"/>
    <w:rsid w:val="00B91DAC"/>
    <w:rsid w:val="00B92D57"/>
    <w:rsid w:val="00BA0280"/>
    <w:rsid w:val="00BA4876"/>
    <w:rsid w:val="00BB6F7F"/>
    <w:rsid w:val="00BC1598"/>
    <w:rsid w:val="00BE5E7B"/>
    <w:rsid w:val="00BE6DF7"/>
    <w:rsid w:val="00BF2004"/>
    <w:rsid w:val="00BF70F1"/>
    <w:rsid w:val="00C04831"/>
    <w:rsid w:val="00C05667"/>
    <w:rsid w:val="00C06A4A"/>
    <w:rsid w:val="00C06E3E"/>
    <w:rsid w:val="00C10FC1"/>
    <w:rsid w:val="00C24984"/>
    <w:rsid w:val="00C37A41"/>
    <w:rsid w:val="00C6292C"/>
    <w:rsid w:val="00C73938"/>
    <w:rsid w:val="00C9203C"/>
    <w:rsid w:val="00CA5BAC"/>
    <w:rsid w:val="00CC5575"/>
    <w:rsid w:val="00CD1E49"/>
    <w:rsid w:val="00CE6F19"/>
    <w:rsid w:val="00CF5DC9"/>
    <w:rsid w:val="00D13884"/>
    <w:rsid w:val="00D159B7"/>
    <w:rsid w:val="00D21FC5"/>
    <w:rsid w:val="00D25167"/>
    <w:rsid w:val="00D31E9E"/>
    <w:rsid w:val="00D3683D"/>
    <w:rsid w:val="00D418F8"/>
    <w:rsid w:val="00D44ED0"/>
    <w:rsid w:val="00D568D7"/>
    <w:rsid w:val="00D56FB6"/>
    <w:rsid w:val="00D61564"/>
    <w:rsid w:val="00D63564"/>
    <w:rsid w:val="00D6473B"/>
    <w:rsid w:val="00D7023E"/>
    <w:rsid w:val="00D71588"/>
    <w:rsid w:val="00D8280E"/>
    <w:rsid w:val="00D8796B"/>
    <w:rsid w:val="00D920E8"/>
    <w:rsid w:val="00DA1DD1"/>
    <w:rsid w:val="00DC17AE"/>
    <w:rsid w:val="00DC42B8"/>
    <w:rsid w:val="00DC4C2A"/>
    <w:rsid w:val="00DC6D46"/>
    <w:rsid w:val="00DD4FA0"/>
    <w:rsid w:val="00E01F97"/>
    <w:rsid w:val="00E05C72"/>
    <w:rsid w:val="00E16744"/>
    <w:rsid w:val="00E36441"/>
    <w:rsid w:val="00E52CEE"/>
    <w:rsid w:val="00E57FA6"/>
    <w:rsid w:val="00E70BC3"/>
    <w:rsid w:val="00E7205F"/>
    <w:rsid w:val="00E84B16"/>
    <w:rsid w:val="00E901E3"/>
    <w:rsid w:val="00E92F27"/>
    <w:rsid w:val="00EA5DC9"/>
    <w:rsid w:val="00EB1936"/>
    <w:rsid w:val="00EB255D"/>
    <w:rsid w:val="00EC61C6"/>
    <w:rsid w:val="00ED1615"/>
    <w:rsid w:val="00ED435C"/>
    <w:rsid w:val="00EE1B73"/>
    <w:rsid w:val="00F075BB"/>
    <w:rsid w:val="00F10406"/>
    <w:rsid w:val="00F20DC6"/>
    <w:rsid w:val="00F24087"/>
    <w:rsid w:val="00F33C18"/>
    <w:rsid w:val="00F43528"/>
    <w:rsid w:val="00F47A72"/>
    <w:rsid w:val="00F50F5D"/>
    <w:rsid w:val="00F546E5"/>
    <w:rsid w:val="00F57C73"/>
    <w:rsid w:val="00F606E6"/>
    <w:rsid w:val="00F72048"/>
    <w:rsid w:val="00F74211"/>
    <w:rsid w:val="00F760BA"/>
    <w:rsid w:val="00F7711E"/>
    <w:rsid w:val="00F77E8A"/>
    <w:rsid w:val="00FB3E53"/>
    <w:rsid w:val="00FC1E1F"/>
    <w:rsid w:val="00FC7C3A"/>
    <w:rsid w:val="00FD3B8B"/>
    <w:rsid w:val="00FD6D41"/>
    <w:rsid w:val="00FF3423"/>
    <w:rsid w:val="04A40A52"/>
    <w:rsid w:val="04E30838"/>
    <w:rsid w:val="07FB307F"/>
    <w:rsid w:val="1360648C"/>
    <w:rsid w:val="15A22D8C"/>
    <w:rsid w:val="15B00C08"/>
    <w:rsid w:val="245D03C7"/>
    <w:rsid w:val="2DD56ADF"/>
    <w:rsid w:val="450E5498"/>
    <w:rsid w:val="49F66C27"/>
    <w:rsid w:val="4AA523FB"/>
    <w:rsid w:val="538F2B13"/>
    <w:rsid w:val="590D7AE9"/>
    <w:rsid w:val="598B5736"/>
    <w:rsid w:val="608E5C5F"/>
    <w:rsid w:val="65C92FEA"/>
    <w:rsid w:val="6C6D24B6"/>
    <w:rsid w:val="747800B5"/>
    <w:rsid w:val="78B760CB"/>
    <w:rsid w:val="7D9622EB"/>
    <w:rsid w:val="7DDF1E31"/>
    <w:rsid w:val="7E492AC2"/>
    <w:rsid w:val="7E6F742E"/>
    <w:rsid w:val="7F41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ody Text"/>
    <w:basedOn w:val="1"/>
    <w:link w:val="22"/>
    <w:qFormat/>
    <w:uiPriority w:val="0"/>
    <w:pPr>
      <w:spacing w:line="360" w:lineRule="auto"/>
    </w:pPr>
    <w:rPr>
      <w:sz w:val="24"/>
      <w:lang w:val="zh-CN"/>
    </w:rPr>
  </w:style>
  <w:style w:type="paragraph" w:styleId="4">
    <w:name w:val="Plain Text"/>
    <w:basedOn w:val="1"/>
    <w:link w:val="16"/>
    <w:qFormat/>
    <w:uiPriority w:val="0"/>
    <w:rPr>
      <w:rFonts w:ascii="宋体" w:hAnsi="Courier New"/>
      <w:szCs w:val="20"/>
    </w:rPr>
  </w:style>
  <w:style w:type="paragraph" w:styleId="5">
    <w:name w:val="Date"/>
    <w:basedOn w:val="1"/>
    <w:next w:val="1"/>
    <w:link w:val="23"/>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annotation subject"/>
    <w:basedOn w:val="2"/>
    <w:next w:val="2"/>
    <w:link w:val="19"/>
    <w:semiHidden/>
    <w:unhideWhenUsed/>
    <w:qFormat/>
    <w:uiPriority w:val="99"/>
    <w:rPr>
      <w:b/>
      <w:bCs/>
    </w:rPr>
  </w:style>
  <w:style w:type="table" w:styleId="11">
    <w:name w:val="Table Grid"/>
    <w:basedOn w:val="1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纯文本 字符"/>
    <w:basedOn w:val="12"/>
    <w:link w:val="4"/>
    <w:qFormat/>
    <w:uiPriority w:val="0"/>
    <w:rPr>
      <w:rFonts w:ascii="宋体" w:hAnsi="Courier New" w:eastAsia="宋体" w:cs="Times New Roman"/>
      <w:szCs w:val="20"/>
    </w:rPr>
  </w:style>
  <w:style w:type="character" w:customStyle="1" w:styleId="17">
    <w:name w:val="da"/>
    <w:basedOn w:val="12"/>
    <w:qFormat/>
    <w:uiPriority w:val="0"/>
  </w:style>
  <w:style w:type="character" w:customStyle="1" w:styleId="18">
    <w:name w:val="批注文字 字符"/>
    <w:basedOn w:val="12"/>
    <w:link w:val="2"/>
    <w:qFormat/>
    <w:uiPriority w:val="99"/>
    <w:rPr>
      <w:rFonts w:ascii="Times New Roman" w:hAnsi="Times New Roman" w:eastAsia="宋体" w:cs="Times New Roman"/>
      <w:szCs w:val="24"/>
    </w:rPr>
  </w:style>
  <w:style w:type="character" w:customStyle="1" w:styleId="19">
    <w:name w:val="批注主题 字符"/>
    <w:basedOn w:val="18"/>
    <w:link w:val="9"/>
    <w:semiHidden/>
    <w:qFormat/>
    <w:uiPriority w:val="99"/>
    <w:rPr>
      <w:rFonts w:ascii="Times New Roman" w:hAnsi="Times New Roman" w:eastAsia="宋体" w:cs="Times New Roman"/>
      <w:b/>
      <w:bCs/>
      <w:szCs w:val="24"/>
    </w:rPr>
  </w:style>
  <w:style w:type="character" w:customStyle="1" w:styleId="20">
    <w:name w:val="批注框文本 字符"/>
    <w:basedOn w:val="12"/>
    <w:link w:val="6"/>
    <w:semiHidden/>
    <w:qFormat/>
    <w:uiPriority w:val="99"/>
    <w:rPr>
      <w:rFonts w:ascii="Times New Roman" w:hAnsi="Times New Roman" w:eastAsia="宋体" w:cs="Times New Roman"/>
      <w:sz w:val="18"/>
      <w:szCs w:val="18"/>
    </w:rPr>
  </w:style>
  <w:style w:type="paragraph" w:styleId="21">
    <w:name w:val="List Paragraph"/>
    <w:basedOn w:val="1"/>
    <w:qFormat/>
    <w:uiPriority w:val="34"/>
    <w:pPr>
      <w:ind w:firstLine="420" w:firstLineChars="200"/>
    </w:pPr>
  </w:style>
  <w:style w:type="character" w:customStyle="1" w:styleId="22">
    <w:name w:val="正文文本 字符"/>
    <w:basedOn w:val="12"/>
    <w:link w:val="3"/>
    <w:qFormat/>
    <w:uiPriority w:val="0"/>
    <w:rPr>
      <w:rFonts w:ascii="Times New Roman" w:hAnsi="Times New Roman" w:eastAsia="宋体" w:cs="Times New Roman"/>
      <w:kern w:val="2"/>
      <w:sz w:val="24"/>
      <w:szCs w:val="24"/>
      <w:lang w:val="zh-CN"/>
    </w:rPr>
  </w:style>
  <w:style w:type="character" w:customStyle="1" w:styleId="23">
    <w:name w:val="日期 字符"/>
    <w:basedOn w:val="12"/>
    <w:link w:val="5"/>
    <w:semiHidden/>
    <w:qFormat/>
    <w:uiPriority w:val="99"/>
    <w:rPr>
      <w:rFonts w:ascii="Times New Roman" w:hAnsi="Times New Roman" w:eastAsia="宋体" w:cs="Times New Roman"/>
      <w:kern w:val="2"/>
      <w:sz w:val="21"/>
      <w:szCs w:val="24"/>
    </w:rPr>
  </w:style>
  <w:style w:type="paragraph" w:customStyle="1" w:styleId="2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IPO正文 Char"/>
    <w:link w:val="26"/>
    <w:qFormat/>
    <w:locked/>
    <w:uiPriority w:val="0"/>
    <w:rPr>
      <w:rFonts w:ascii="Arial" w:hAnsi="Arial" w:cs="Arial"/>
      <w:color w:val="000000"/>
      <w:kern w:val="2"/>
      <w:sz w:val="24"/>
      <w:szCs w:val="22"/>
      <w:lang w:eastAsia="en-US" w:bidi="en-US"/>
    </w:rPr>
  </w:style>
  <w:style w:type="paragraph" w:customStyle="1" w:styleId="26">
    <w:name w:val="IPO正文"/>
    <w:basedOn w:val="1"/>
    <w:link w:val="25"/>
    <w:qFormat/>
    <w:uiPriority w:val="0"/>
    <w:pPr>
      <w:spacing w:afterLines="50" w:line="360" w:lineRule="auto"/>
      <w:ind w:firstLine="480" w:firstLineChars="200"/>
    </w:pPr>
    <w:rPr>
      <w:rFonts w:ascii="Arial" w:hAnsi="Arial" w:cs="Arial" w:eastAsiaTheme="minorEastAsia"/>
      <w:color w:val="000000"/>
      <w:sz w:val="24"/>
      <w:szCs w:val="22"/>
      <w:lang w:eastAsia="en-US" w:bidi="en-US"/>
    </w:rPr>
  </w:style>
  <w:style w:type="paragraph" w:customStyle="1" w:styleId="2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1083</Words>
  <Characters>1268</Characters>
  <Lines>13</Lines>
  <Paragraphs>3</Paragraphs>
  <TotalTime>1</TotalTime>
  <ScaleCrop>false</ScaleCrop>
  <LinksUpToDate>false</LinksUpToDate>
  <CharactersWithSpaces>1286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2019-11-20T15:30:00Z</dcterms:created>
  <dc:creator>NTKO</dc:creator>
  <cp:lastModifiedBy>Leanne</cp:lastModifiedBy>
  <dcterms:modified xsi:type="dcterms:W3CDTF">2023-02-24T04:12:32Z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55F811F22D65446E98FFA6EB87790128</vt:lpwstr>
  </property>
</Properties>
</file>